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147C9" w14:textId="77777777" w:rsidR="00405D9F" w:rsidRPr="00BE66FB" w:rsidRDefault="00405D9F" w:rsidP="00405D9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b/>
          <w:caps/>
          <w:sz w:val="24"/>
          <w:szCs w:val="24"/>
          <w:lang w:eastAsia="cs-CZ"/>
        </w:rPr>
        <w:t>Doložka zlučiteľnosti</w:t>
      </w:r>
    </w:p>
    <w:p w14:paraId="088BC2AA" w14:textId="77777777" w:rsidR="00405D9F" w:rsidRPr="00BE66FB" w:rsidRDefault="00405D9F" w:rsidP="00405D9F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návrhu </w:t>
      </w:r>
      <w:r w:rsidRPr="00BE66FB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zákona</w:t>
      </w:r>
      <w:r w:rsidRPr="00BE66FB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s právom Európskej únie</w:t>
      </w:r>
    </w:p>
    <w:p w14:paraId="74B7A2A9" w14:textId="77777777" w:rsidR="00405D9F" w:rsidRPr="00BE66FB" w:rsidRDefault="00405D9F" w:rsidP="00405D9F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14:paraId="43E8225C" w14:textId="77777777" w:rsidR="00405D9F" w:rsidRPr="00BE66FB" w:rsidRDefault="00405D9F" w:rsidP="00405D9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Navrhovateľ návrhu zákona: </w:t>
      </w:r>
    </w:p>
    <w:p w14:paraId="3B7AEBBA" w14:textId="77777777" w:rsidR="00405D9F" w:rsidRPr="00BE66FB" w:rsidRDefault="00405D9F" w:rsidP="00405D9F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vláda Slovenskej republiky</w:t>
      </w:r>
    </w:p>
    <w:p w14:paraId="75B22345" w14:textId="77777777" w:rsidR="00405D9F" w:rsidRPr="00BE66FB" w:rsidRDefault="00405D9F" w:rsidP="00405D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E001310" w14:textId="77777777" w:rsidR="00405D9F" w:rsidRPr="00BE66FB" w:rsidRDefault="00405D9F" w:rsidP="00405D9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Názov návrhu zákona:</w:t>
      </w:r>
    </w:p>
    <w:p w14:paraId="73E83689" w14:textId="77777777" w:rsidR="00405D9F" w:rsidRPr="00BE66FB" w:rsidRDefault="00405D9F" w:rsidP="00405D9F">
      <w:pPr>
        <w:spacing w:before="120"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Vládny návrh zákona, ktorým sa mení a dopĺňa zákon č. 106/2018 Z. z. o prevádzke vozidiel v cestnej premávke a o zmene a doplnení niektorých zákonov v znení neskorších predpisov a ktorým sa menia a dopĺňajú niektoré zákony</w:t>
      </w:r>
    </w:p>
    <w:p w14:paraId="2E810AED" w14:textId="77777777" w:rsidR="00405D9F" w:rsidRPr="00BE66FB" w:rsidRDefault="00405D9F" w:rsidP="00405D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14:paraId="278CE1F8" w14:textId="77777777" w:rsidR="00405D9F" w:rsidRPr="00BE66FB" w:rsidRDefault="00405D9F" w:rsidP="00405D9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Predmet návrhu zákona je upravený v práve Európskej únie: </w:t>
      </w:r>
    </w:p>
    <w:p w14:paraId="62C59F96" w14:textId="77777777" w:rsidR="00405D9F" w:rsidRPr="00BE66FB" w:rsidRDefault="00405D9F" w:rsidP="00405D9F">
      <w:pPr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 primárnom práve (uviesť názov zmluvy a číslo článku) </w:t>
      </w:r>
    </w:p>
    <w:p w14:paraId="52883C0C" w14:textId="77777777" w:rsidR="00405D9F" w:rsidRPr="00BE66FB" w:rsidRDefault="00405D9F" w:rsidP="00405D9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Čl. 28-37 Hlava II (Voľný pohyb tovaru), čl. 90-100 Hlava VI (Doprava), čl. 114-118 (Aproximácia práva) a čl. 191-193 Hlava XX (Životné prostredie) Zmluvy o fungovaní Európskej únie,</w:t>
      </w:r>
    </w:p>
    <w:p w14:paraId="4F746A2E" w14:textId="77777777" w:rsidR="00405D9F" w:rsidRPr="00BE66FB" w:rsidRDefault="00405D9F" w:rsidP="00405D9F">
      <w:pPr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 sekundárnom práve (uviesť druh, inštitúciu, číslo, názov a dátum vydania právneho aktu vzťahujúceho sa na upravovanú problematiku, vrátane jeho gestora) </w:t>
      </w:r>
    </w:p>
    <w:p w14:paraId="401A4E0A" w14:textId="77777777" w:rsidR="00405D9F" w:rsidRPr="00BE66FB" w:rsidRDefault="00405D9F" w:rsidP="00405D9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sk-SK"/>
        </w:rPr>
        <w:t>smernica Európskeho parlamentu a Rady 2014/45/EÚ z 3. apríla 2014 o pravidelnej kontrole technického stavu motorových vozidiel a ich prípojných vozidiel a o zrušení smernice 2009/40/ES (Ú. v. EÚ L 127, 29.4.2014) v platnom znení, ktorej gestorom je Ministerstvo dopravy Slovenskej republiky,</w:t>
      </w:r>
    </w:p>
    <w:p w14:paraId="4C309B9E" w14:textId="77777777" w:rsidR="00405D9F" w:rsidRPr="00BE66FB" w:rsidRDefault="00405D9F" w:rsidP="00405D9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sk-SK"/>
        </w:rPr>
        <w:t>nariadenie Európskeho parlamentu a Rady (ES) č. 715/2007 z 20. júna 2007 o typovom schvaľovaní motorových vozidiel so zreteľom na emisie ľahkých osobných a úžitkových vozidiel (Euro 5 a Euro 6) (Ú. v. EÚ L 171, 29. 6. 2007) v platnom znení, ktorého gestorom je Ministerstvo dopravy Slovenskej republiky,</w:t>
      </w:r>
    </w:p>
    <w:p w14:paraId="7FCEC8E6" w14:textId="77777777" w:rsidR="00405D9F" w:rsidRPr="00BE66FB" w:rsidRDefault="00405D9F" w:rsidP="00405D9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sk-SK"/>
        </w:rPr>
        <w:t>nariadenie Európskeho parlamentu a Rady (ES) č. 595/2009 z 18. júna 2009 o typovom schvaľovaní motorových vozidiel a motorov s ohľadom na emisie ťažkých úžitkových vozidiel (Euro VI), ktorým sa mení nariadenie (ES) č. 715/2007 a smernica 2007/46/ES a zrušujú smernice 80/1269/EHS, 2005/55/ES a 2005/78/ES (Ú. v. EÚ L 188, 18. 7. 2009) v platnom znení, ktorého gestorom je Ministerstvo dopravy  Slovenskej republiky,</w:t>
      </w:r>
    </w:p>
    <w:p w14:paraId="3AFE0ADA" w14:textId="77777777" w:rsidR="00405D9F" w:rsidRPr="00BE66FB" w:rsidRDefault="00405D9F" w:rsidP="00405D9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sk-SK"/>
        </w:rPr>
        <w:t>nariadenie Európskeho parlamentu a Rady (EÚ) č. 167/2013 z 5. februára 2013 o schvaľovaní poľnohospodárskych a lesných vozidiel a o dohľade nad trhom s týmito vozidlami (Ú. v. EÚ L 60, 2. 3. 2013) v platnom znení, ktorého gestorom je Ministerstvo dopravy Slovenskej republiky,</w:t>
      </w:r>
    </w:p>
    <w:p w14:paraId="3EF32B3B" w14:textId="77777777" w:rsidR="00405D9F" w:rsidRPr="00BE66FB" w:rsidRDefault="00405D9F" w:rsidP="00405D9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sk-SK"/>
        </w:rPr>
        <w:t>nariadenie Európskeho parlamentu a Rady (EÚ) č. 168/2013 z 15. januára 2013 o schvaľovaní a dohľade nad trhom dvoj- alebo trojkolesových vozidiel a 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sk-SK"/>
        </w:rPr>
        <w:t>štvorkoliek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(Ú. v. EÚ L 60, 2. 3. 2013) v platnom znení, ktorého gestorom je Ministerstvo dopravy Slovenskej republiky,</w:t>
      </w:r>
    </w:p>
    <w:p w14:paraId="11CE4EB4" w14:textId="77777777" w:rsidR="00405D9F" w:rsidRPr="00BE66FB" w:rsidRDefault="00405D9F" w:rsidP="00405D9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delegované nariadenie Komisie (EÚ) č. 44/2014 z 21. novembra 2013, ktorým sa dopĺňa nariadenie Európskeho parlamentu a Rady (EÚ) č. 168/2013, pokiaľ ide o konštrukciu vozidla a všeobecné požiadavky na schvaľovanie dvoj- alebo trojkolesových vozidiel a 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sk-SK"/>
        </w:rPr>
        <w:t>štvorkoliek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(Ú. v. EÚ L 25, 28. 1. 2014) v platnom znení, ktorého gestorom je Ministerstvo dopravy Slovenskej republiky,</w:t>
      </w:r>
    </w:p>
    <w:p w14:paraId="32AE01D2" w14:textId="77777777" w:rsidR="00405D9F" w:rsidRPr="00BE66FB" w:rsidRDefault="00405D9F" w:rsidP="00405D9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delegované nariadenie Komisie (EÚ) č. 1322/2014 z 19. septembra 2014, ktorým sa dopĺňa a mení nariadenie Európskeho parlamentu a Rady (EÚ) č. 167/2013, pokiaľ ide o konštrukciu vozidla a všeobecné požiadavky na schvaľovanie </w:t>
      </w:r>
      <w:r w:rsidRPr="00BE66FB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>poľnohospodárskych a lesných vozidiel (Ú. v. EÚ L 364, 18. 12. 2014) v platnom znení, ktorého gestorom je Ministerstvo dopravy Slovenskej republiky,</w:t>
      </w:r>
    </w:p>
    <w:p w14:paraId="58889221" w14:textId="77777777" w:rsidR="00405D9F" w:rsidRPr="00BE66FB" w:rsidRDefault="00405D9F" w:rsidP="00405D9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sk-SK"/>
        </w:rPr>
        <w:t>nariadenie Európskeho parlamentu a Rady (EÚ) 2016/1628 zo 14. septembra 2016 o požiadavkách na emisné limity plynných a pevných znečisťujúcich látok a typové schválenie spaľovacích motorov necestných pojazdných strojov, ktorým sa menia nariadenia (EÚ) č. 1024/2012 a (EÚ) č. 167/2013, a ktorým sa mení a zrušuje smernica 97/68/ES (Ú. v. EÚ L 252, 16. 9. 2016) v platnom znení, ktorého gestorom je Ministerstvo dopravy Slovenskej republiky,</w:t>
      </w:r>
    </w:p>
    <w:p w14:paraId="0A5AE8B6" w14:textId="77777777" w:rsidR="00405D9F" w:rsidRPr="00BE66FB" w:rsidRDefault="00405D9F" w:rsidP="00405D9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sk-SK"/>
        </w:rPr>
        <w:t>nariadenie Európskeho parlamentu a Rady (EÚ) 2018/858 z 30. mája 2018 o schvaľovaní motorových vozidiel a ich prípojných vozidiel, ako aj systémov, komponentov a samostatných technických jednotiek určených pre takéto vozidlá a o dohľade nad trhom s nimi, ktorým sa menia nariadenia (ES) č. 715/2007 a (ES) č. 595/2009 a zrušuje smernica 2007/46/ES (Ú. v. EÚ L 151, 14. 6. 2018) v platnom znení, ktorého gestorom je Ministerstvo dopravy Slovenskej republiky,</w:t>
      </w:r>
    </w:p>
    <w:p w14:paraId="5C9E5719" w14:textId="77777777" w:rsidR="00405D9F" w:rsidRPr="00BE66FB" w:rsidRDefault="00405D9F" w:rsidP="00405D9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sk-SK"/>
        </w:rPr>
        <w:t>nariadenie Európskeho parlamentu a Rady (EÚ) 2019/2144 z 27. novembra 2019 o požiadavkách na typové schvaľovanie motorových vozidiel a ich prípojných vozidiel a systémov, komponentov a samostatných technických jednotiek určených pre tieto vozidlá, pokiaľ ide o ich všeobecnú bezpečnosť a ochranu cestujúcich vo vozidle a zraniteľných účastníkov cestnej premávky, ktorým sa mení nariadenie Európskeho parlamentu a Rady (EÚ) 2018/858 a ktorým sa zrušujú nariadenia Európskeho parlamentu a Rady (ES) č. 78/2009, (ES) č. 79/2009 a (ES) č. 661/2009 a nariadenia Komisie (ES) č. 631/2009, (EÚ) č. 406/2010, (EÚ) č. 672/2010, (EÚ) č. 1003/2010, (EÚ) č. 1005/2010, (EÚ) č. 1008/2010, (EÚ) č. 1009/2010, (EÚ) č. 19/2011, (EÚ) č. 109/2011, (EÚ) č. 458/2011, (EÚ) č. 65/2012, (EÚ) č. 130/2012, (EÚ) č. 347/2012, (EÚ) č. 351/2012, (EÚ) č. 1230/2012 a (EÚ) 2015/166 (Ú. v. EÚ L 325, 16. 12. 2019) v platnom znení, ktorého gestorom je Ministerstvo dopravy Slovenskej republiky,</w:t>
      </w:r>
    </w:p>
    <w:p w14:paraId="418030C6" w14:textId="77777777" w:rsidR="00405D9F" w:rsidRPr="00BE66FB" w:rsidRDefault="00405D9F" w:rsidP="00405D9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sk-SK"/>
        </w:rPr>
        <w:t>nariadenie Európskeho parlamentu a Rady (EÚ) 2020/740 z 25. mája 2020 o označovaní pneumatík vzhľadom na palivovú úspornosť a iné parametre, ktorým sa mení nariadenie (EÚ) 2017/1369 a zrušuje nariadenie (ES) č. 1222/2009 (Ú. v. EÚ L 177, 5. 6. 2020), ktorého gestorom je Ministerstvo hospodárstva Slovenskej republiky a Ministerstvo dopravy Slovenskej republiky,</w:t>
      </w:r>
    </w:p>
    <w:p w14:paraId="6DDBFBD6" w14:textId="77777777" w:rsidR="00405D9F" w:rsidRPr="00BE66FB" w:rsidRDefault="00405D9F" w:rsidP="00405D9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sk-SK"/>
        </w:rPr>
        <w:t>vykonávacie nariadenie Komisie (EÚ) 2022/163 zo 7. februára 2022, ktorým sa stanovujú pravidlá uplatňovania nariadenia Európskeho parlamentu a Rady (EÚ) 2018/858, pokiaľ ide o funkčné požiadavky na dohľad nad trhom s vozidlami, systémami, komponentmi a samostatnými technickými jednotkami (Ú. v. EÚ L 27, 8. 2. 2022), ktorého gestorom je Ministerstvo dopravy Slovenskej republiky,</w:t>
      </w:r>
    </w:p>
    <w:p w14:paraId="2B592DC4" w14:textId="77777777" w:rsidR="00405D9F" w:rsidRPr="00BE66FB" w:rsidRDefault="00405D9F" w:rsidP="00405D9F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sk-SK"/>
        </w:rPr>
        <w:t>nariadenie Európskeho parlamentu a Rady (EÚ) 2025/14 z 19. decembra 2024 o schvaľovaní necestných pojazdných strojov prevádzkovaných na verejných pozemných komunikáciách a dohľade nad trhom s nimi a o zmene nariadenia (EÚ) 2019/1020 (Ú. v. EÚ L, 2025/14, 8. 1. 2025), ktorého gestorom je ktorého gestorom je Ministerstvo dopravy Slovenskej republiky.</w:t>
      </w:r>
    </w:p>
    <w:p w14:paraId="173D76C5" w14:textId="77777777" w:rsidR="00405D9F" w:rsidRPr="00BE66FB" w:rsidRDefault="00405D9F" w:rsidP="00405D9F">
      <w:pPr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 judikatúre Súdneho dvora Európskej únie (uviesť číslo a označenie relevantného rozhodnutia a stručne jeho výrok alebo relevantné právne vety) </w:t>
      </w:r>
    </w:p>
    <w:p w14:paraId="2C0230BE" w14:textId="77777777" w:rsidR="00405D9F" w:rsidRPr="00BE66FB" w:rsidRDefault="00405D9F" w:rsidP="00405D9F">
      <w:pPr>
        <w:numPr>
          <w:ilvl w:val="0"/>
          <w:numId w:val="4"/>
        </w:numPr>
        <w:spacing w:before="120" w:after="0" w:line="240" w:lineRule="auto"/>
        <w:ind w:left="1349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  <w:t>zákaz registrácie určitých vozidiel:</w:t>
      </w:r>
    </w:p>
    <w:p w14:paraId="6B14C64F" w14:textId="77777777" w:rsidR="00405D9F" w:rsidRPr="00BE66FB" w:rsidRDefault="00405D9F" w:rsidP="00405D9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rozhodnutie Súdneho dvora Európskych spoločenstiev vo veci 8/74, 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Procureur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du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Roi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/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Dassonville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,</w:t>
      </w:r>
    </w:p>
    <w:p w14:paraId="1708A403" w14:textId="77777777" w:rsidR="00405D9F" w:rsidRPr="00BE66FB" w:rsidRDefault="00405D9F" w:rsidP="00405D9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rozhodnutie Súdneho dvora Európskych spoločenstiev vo veci 50/83, Komisia/Taliansko, </w:t>
      </w:r>
    </w:p>
    <w:p w14:paraId="4188BC5D" w14:textId="77777777" w:rsidR="00405D9F" w:rsidRPr="00BE66FB" w:rsidRDefault="00405D9F" w:rsidP="00405D9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 xml:space="preserve">rozhodnutie Súdneho dvora Európskych spoločenstiev vo veci C-302/86, Komisia/Dánsko, </w:t>
      </w:r>
    </w:p>
    <w:p w14:paraId="35AF1B3F" w14:textId="77777777" w:rsidR="00405D9F" w:rsidRPr="00BE66FB" w:rsidRDefault="00405D9F" w:rsidP="00405D9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rozhodnutie Súdneho dvora Európskych spoločenstiev vo veci 113/80, Komisia/Írsko, </w:t>
      </w:r>
    </w:p>
    <w:p w14:paraId="19B5031A" w14:textId="77777777" w:rsidR="00405D9F" w:rsidRPr="00BE66FB" w:rsidRDefault="00405D9F" w:rsidP="00405D9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rozhodnutie Súdneho dvora Európskych spoločenstiev vo veci C-314/98, 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Snellers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</w:p>
    <w:p w14:paraId="5044AD4C" w14:textId="77777777" w:rsidR="00405D9F" w:rsidRPr="00BE66FB" w:rsidRDefault="00405D9F" w:rsidP="00405D9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 rozhodnutí Súdneho dvora Európskych spoločenstiev vo veci C-55/93, van 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Schaik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</w:p>
    <w:p w14:paraId="75B926EE" w14:textId="77777777" w:rsidR="00405D9F" w:rsidRPr="00BE66FB" w:rsidRDefault="00405D9F" w:rsidP="00405D9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rozhodnutie Súdneho dvora Európskych spoločenstiev vo veci C-50/85, 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Schloh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</w:p>
    <w:p w14:paraId="5B176EFF" w14:textId="77777777" w:rsidR="00405D9F" w:rsidRPr="00BE66FB" w:rsidRDefault="00405D9F" w:rsidP="00405D9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rozhodnutie Súdneho dvora Európskych spoločenstiev vo veci C-420/1, Komisia/Taliansko, </w:t>
      </w:r>
    </w:p>
    <w:p w14:paraId="2D0A1444" w14:textId="77777777" w:rsidR="00405D9F" w:rsidRPr="00BE66FB" w:rsidRDefault="00405D9F" w:rsidP="00405D9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rozhodnutie Súdneho dvora Európskych spoločenstiev vo veci 104-75, De 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Peijper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</w:p>
    <w:p w14:paraId="76B83031" w14:textId="77777777" w:rsidR="00405D9F" w:rsidRPr="00BE66FB" w:rsidRDefault="00405D9F" w:rsidP="00405D9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rozhodnutie Súdneho dvora Európskych spoločenstiev vo veci C-293/94, 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Brandsma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</w:p>
    <w:p w14:paraId="131DD08C" w14:textId="77777777" w:rsidR="00405D9F" w:rsidRPr="00BE66FB" w:rsidRDefault="00405D9F" w:rsidP="00405D9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rozsudok Súdneho dvora (druhá komora) zo 6. septembra 2012 vo veci C-150/11, Európska komisia proti Belgickému kráľovstvu,</w:t>
      </w:r>
    </w:p>
    <w:p w14:paraId="79D6515D" w14:textId="77777777" w:rsidR="00405D9F" w:rsidRPr="00BE66FB" w:rsidRDefault="00405D9F" w:rsidP="00405D9F">
      <w:pPr>
        <w:numPr>
          <w:ilvl w:val="0"/>
          <w:numId w:val="4"/>
        </w:numPr>
        <w:spacing w:before="120" w:after="0" w:line="240" w:lineRule="auto"/>
        <w:ind w:left="1349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  <w:t>dodatočné technické kontroly:</w:t>
      </w:r>
    </w:p>
    <w:p w14:paraId="2DFC5A11" w14:textId="77777777" w:rsidR="00405D9F" w:rsidRPr="00BE66FB" w:rsidRDefault="00405D9F" w:rsidP="00405D9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rozhodnutie Súdneho dvora Európskych spoločenstiev vo veci C-50/85, 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Schloh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</w:p>
    <w:p w14:paraId="45180CA0" w14:textId="77777777" w:rsidR="00405D9F" w:rsidRPr="00BE66FB" w:rsidRDefault="00405D9F" w:rsidP="00405D9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rozhodnutie Súdneho dvora Európskych spoločenstiev vo veci 272/80, 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Frans-Nederlandse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Maatschappoj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voor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Biologiche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Producten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</w:p>
    <w:p w14:paraId="46A936C8" w14:textId="77777777" w:rsidR="00405D9F" w:rsidRPr="00BE66FB" w:rsidRDefault="00405D9F" w:rsidP="00405D9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rozhodnutie Súdneho dvora Európskych spoločenstiev vo veci C-293/94, 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Brandsma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</w:p>
    <w:p w14:paraId="64A77CA2" w14:textId="77777777" w:rsidR="00405D9F" w:rsidRPr="00BE66FB" w:rsidRDefault="00405D9F" w:rsidP="00405D9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rozhodnutie Súdneho dvora Európskych spoločenstiev vo veci C-400/96, 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Harpegnies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</w:p>
    <w:p w14:paraId="086534DD" w14:textId="77777777" w:rsidR="00405D9F" w:rsidRPr="00BE66FB" w:rsidRDefault="00405D9F" w:rsidP="00405D9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rozsudok Súdneho dvora (prvá komora) z 5. júna 2008 vo veci C-170/07, Komisia Európska komisia proti Poľskej republike,</w:t>
      </w:r>
    </w:p>
    <w:p w14:paraId="2DA9A5E1" w14:textId="77777777" w:rsidR="00405D9F" w:rsidRPr="00BE66FB" w:rsidRDefault="00405D9F" w:rsidP="00405D9F">
      <w:pPr>
        <w:numPr>
          <w:ilvl w:val="0"/>
          <w:numId w:val="4"/>
        </w:numPr>
        <w:spacing w:before="120" w:after="0" w:line="240" w:lineRule="auto"/>
        <w:ind w:left="1349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  <w:t>preregistrácia vozidiel s pravostranným riadením</w:t>
      </w:r>
    </w:p>
    <w:p w14:paraId="604D66ED" w14:textId="77777777" w:rsidR="00405D9F" w:rsidRPr="00BE66FB" w:rsidRDefault="00405D9F" w:rsidP="00405D9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rozsudok Súdneho dvora (piata komora) z 20. marca 2014 vo veci C-639/11 Európska komisia proti Poľskej republike,</w:t>
      </w:r>
    </w:p>
    <w:p w14:paraId="14728929" w14:textId="77777777" w:rsidR="00405D9F" w:rsidRPr="00BE66FB" w:rsidRDefault="00405D9F" w:rsidP="00405D9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rozsudok Súdneho dvora (piata komora) z 20. marca 2014 vo veci C-61/12 Európska komisia proti Litovskej republike,</w:t>
      </w:r>
    </w:p>
    <w:p w14:paraId="0904B56D" w14:textId="77777777" w:rsidR="00405D9F" w:rsidRPr="00BE66FB" w:rsidRDefault="00405D9F" w:rsidP="00405D9F">
      <w:pPr>
        <w:numPr>
          <w:ilvl w:val="0"/>
          <w:numId w:val="4"/>
        </w:numPr>
        <w:spacing w:before="120" w:after="0" w:line="240" w:lineRule="auto"/>
        <w:ind w:left="1349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  <w:t>zriaďovanie staníc technickej kontroly</w:t>
      </w:r>
    </w:p>
    <w:p w14:paraId="14B0CDAC" w14:textId="77777777" w:rsidR="00405D9F" w:rsidRPr="00BE66FB" w:rsidRDefault="00405D9F" w:rsidP="00405D9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rozsudok Súdneho dvora (štvrtá komora) z 22. októbra 2009 vo veci C-438/08, Európska komisia proti Portugalskej republike,</w:t>
      </w:r>
    </w:p>
    <w:p w14:paraId="5DCF065D" w14:textId="77777777" w:rsidR="00405D9F" w:rsidRPr="00BE66FB" w:rsidRDefault="00405D9F" w:rsidP="00405D9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rozsudok Súdneho dvora (druhá komora) z 15. októbra 2015 vo veci C-168/14 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Grupo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Itevelesa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SL a i. proti Oca 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Inspección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Técnica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de 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Vehículos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SA a 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Generalidad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de 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Cataluña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,</w:t>
      </w:r>
    </w:p>
    <w:p w14:paraId="6A34178B" w14:textId="77777777" w:rsidR="00405D9F" w:rsidRPr="00BE66FB" w:rsidRDefault="00405D9F" w:rsidP="00405D9F">
      <w:pPr>
        <w:numPr>
          <w:ilvl w:val="0"/>
          <w:numId w:val="4"/>
        </w:numPr>
        <w:spacing w:before="120" w:after="0" w:line="240" w:lineRule="auto"/>
        <w:ind w:left="1349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  <w:t>uvedenie ojazdených alebo použitých vozidiel dovezených z tretej krajiny na trh a ich registrácia v Európskej únii</w:t>
      </w:r>
    </w:p>
    <w:p w14:paraId="6B780FB4" w14:textId="77777777" w:rsidR="00405D9F" w:rsidRPr="00BE66FB" w:rsidRDefault="00405D9F" w:rsidP="00405D9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rozsudok Súdneho dvora (piata komora) z 15. júna 2017 vo veci C</w:t>
      </w: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noBreakHyphen/>
        <w:t>513/15, „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Agrodetalė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“ UAB,</w:t>
      </w:r>
    </w:p>
    <w:p w14:paraId="77FF4EEB" w14:textId="77777777" w:rsidR="00405D9F" w:rsidRPr="00BE66FB" w:rsidRDefault="00405D9F" w:rsidP="00405D9F">
      <w:pPr>
        <w:numPr>
          <w:ilvl w:val="0"/>
          <w:numId w:val="4"/>
        </w:numPr>
        <w:spacing w:before="120" w:after="0" w:line="240" w:lineRule="auto"/>
        <w:ind w:left="1349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  <w:t>preregistrácia vozidiel medzi členskými štátmi</w:t>
      </w:r>
    </w:p>
    <w:p w14:paraId="1883882E" w14:textId="77777777" w:rsidR="00405D9F" w:rsidRPr="00BE66FB" w:rsidRDefault="00405D9F" w:rsidP="00405D9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rozsudok Súdneho dvora (štvrtá komora) z 24. januára 2019 vo veci C</w:t>
      </w: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noBreakHyphen/>
        <w:t xml:space="preserve">326/17, prejudiciálne konanie podané rozhodnutím 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Raad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van State (Štátna rada, Holandsko), ktoré súvisí s konaním 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Directie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van de 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Dienst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Wegverkeer</w:t>
      </w:r>
      <w:proofErr w:type="spellEnd"/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(RDW),</w:t>
      </w:r>
    </w:p>
    <w:p w14:paraId="090C1B77" w14:textId="77777777" w:rsidR="00405D9F" w:rsidRPr="00BE66FB" w:rsidRDefault="00405D9F" w:rsidP="00405D9F">
      <w:pPr>
        <w:autoSpaceDE w:val="0"/>
        <w:autoSpaceDN w:val="0"/>
        <w:adjustRightInd w:val="0"/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výrok: </w:t>
      </w:r>
    </w:p>
    <w:p w14:paraId="30865409" w14:textId="77777777" w:rsidR="00405D9F" w:rsidRPr="00BE66FB" w:rsidRDefault="00405D9F" w:rsidP="00405D9F">
      <w:pPr>
        <w:autoSpaceDE w:val="0"/>
        <w:autoSpaceDN w:val="0"/>
        <w:adjustRightInd w:val="0"/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>Článok 24 ods. 6 smernice 2007/46 sa má vykladať v tom zmysle, že režim, ktorý stanovuje, sa neuplatňuje na ojazdené vozidlo, ktoré už bolo registrované v členskom štáte, ak je toto vozidlo podľa článku 4 smernice 1999/37 predložené na novú registráciu orgánu iného členského štátu, príslušnému v tejto oblasti. Ak však existujú podozrenia, že toto vozidlo predstavuje nebezpečenstvo pre bezpečnosť cestnej premávky, tento orgán môže podľa článku 5 písm. a) smernice Európskeho parlamentu a Rady 2009/40/ES zo 6. mája 2009 o kontrole technického stavu motorových vozidiel a ich prípojných vozidiel požadovať, aby uvedené vozidlo bolo pred jeho registráciou podrobené kontrole.</w:t>
      </w:r>
    </w:p>
    <w:p w14:paraId="2C52B2C4" w14:textId="77777777" w:rsidR="00405D9F" w:rsidRPr="00BE66FB" w:rsidRDefault="00405D9F" w:rsidP="00405D9F">
      <w:pPr>
        <w:numPr>
          <w:ilvl w:val="0"/>
          <w:numId w:val="4"/>
        </w:numPr>
        <w:spacing w:before="120" w:after="0" w:line="240" w:lineRule="auto"/>
        <w:ind w:left="1349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  <w:t>povinná identifikácia a technická kontrola predchádzajúca registrácii vozidiel v členskom štáte</w:t>
      </w:r>
    </w:p>
    <w:p w14:paraId="7BA0C657" w14:textId="77777777" w:rsidR="00405D9F" w:rsidRPr="00BE66FB" w:rsidRDefault="00405D9F" w:rsidP="00405D9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rozsudok Súdneho dvora (prvá komora) z 20. septembra 2007 vo veci C</w:t>
      </w: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noBreakHyphen/>
        <w:t>297/05, Európska komisia proti Holandskému kráľovstvu.</w:t>
      </w:r>
    </w:p>
    <w:p w14:paraId="61E60033" w14:textId="77777777" w:rsidR="00405D9F" w:rsidRPr="00BE66FB" w:rsidRDefault="00405D9F" w:rsidP="00405D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cyan"/>
          <w:lang w:eastAsia="cs-CZ"/>
        </w:rPr>
      </w:pPr>
    </w:p>
    <w:p w14:paraId="4FA28376" w14:textId="77777777" w:rsidR="00405D9F" w:rsidRPr="00BE66FB" w:rsidRDefault="00405D9F" w:rsidP="00405D9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Záväzky Slovenskej republiky vo vzťahu k Európskej únii:</w:t>
      </w:r>
    </w:p>
    <w:p w14:paraId="289A2507" w14:textId="77777777" w:rsidR="00405D9F" w:rsidRPr="00BE66FB" w:rsidRDefault="00405D9F" w:rsidP="00405D9F">
      <w:pPr>
        <w:numPr>
          <w:ilvl w:val="0"/>
          <w:numId w:val="6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uviesť lehotu na prebranie príslušného právneho aktu Európskej únie, príp. aj osobitnú lehotu účinnosti jeho ustanovení </w:t>
      </w:r>
    </w:p>
    <w:p w14:paraId="3C8B4B3F" w14:textId="77777777" w:rsidR="00405D9F" w:rsidRPr="00BE66FB" w:rsidRDefault="00405D9F" w:rsidP="00405D9F">
      <w:pPr>
        <w:numPr>
          <w:ilvl w:val="0"/>
          <w:numId w:val="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sk-SK"/>
        </w:rPr>
        <w:t>nariadenie Európskeho parlamentu a Rady (EÚ) 2025/14 z 19. decembra 2024 o schvaľovaní necestných pojazdných strojov prevádzkovaných na verejných pozemných komunikáciách a dohľade nad trhom s nimi a o zmene nariadenia (EÚ) 2019/1020 (Ú. v. EÚ L, 2025/14, 8. 1. 2025), nariadenie sa uplatňuje od 29.01.2028</w:t>
      </w:r>
    </w:p>
    <w:p w14:paraId="46D27139" w14:textId="77777777" w:rsidR="00405D9F" w:rsidRPr="00BE66FB" w:rsidRDefault="00405D9F" w:rsidP="00405D9F">
      <w:pPr>
        <w:numPr>
          <w:ilvl w:val="0"/>
          <w:numId w:val="6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uviesť informáciu o začatí konania v rámci „EÚ Pilot“ alebo o začatí postupu Európskej komisie, alebo o konaní Súdneho dvora Európskej únie proti Slovenskej republike podľa čl. 258 a 260 Zmluvy o fungovaní Európskej únie v jej platnom znení, spolu s uvedením konkrétnych vytýkaných nedostatkov a požiadaviek na zabezpečenie nápravy so zreteľom na nariadenie Európskeho parlamentu a Rady (ES) č. 1049/2001 z 30. mája 2001 o prístupe verejnosti k dokumentom Európskeho parlamentu, Rady a Komisie </w:t>
      </w:r>
    </w:p>
    <w:p w14:paraId="124E8089" w14:textId="77777777" w:rsidR="00405D9F" w:rsidRPr="00BE66FB" w:rsidRDefault="00405D9F" w:rsidP="00405D9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v danej oblasti nie je proti Slovenskej republike začaté konanie,</w:t>
      </w:r>
    </w:p>
    <w:p w14:paraId="68A5BFAA" w14:textId="77777777" w:rsidR="00405D9F" w:rsidRPr="00BE66FB" w:rsidRDefault="00405D9F" w:rsidP="00405D9F">
      <w:pPr>
        <w:numPr>
          <w:ilvl w:val="0"/>
          <w:numId w:val="6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uviesť informáciu o právnych predpisoch, v ktorých sú uvádzané právne akty Európskej únie už prebrané, spolu s uvedením rozsahu ich prebrania, príp. potreby prijatia ďalších úprav </w:t>
      </w:r>
    </w:p>
    <w:p w14:paraId="39B6C9EE" w14:textId="77777777" w:rsidR="00405D9F" w:rsidRPr="00BE66FB" w:rsidRDefault="00405D9F" w:rsidP="00405D9F">
      <w:pPr>
        <w:spacing w:after="0" w:line="240" w:lineRule="auto"/>
        <w:ind w:left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Smernica Európskeho parlamentu a Rady 2014/45/EÚ</w:t>
      </w:r>
    </w:p>
    <w:p w14:paraId="346D7BE4" w14:textId="77777777" w:rsidR="00405D9F" w:rsidRPr="00BE66FB" w:rsidRDefault="00405D9F" w:rsidP="00405D9F">
      <w:pPr>
        <w:numPr>
          <w:ilvl w:val="2"/>
          <w:numId w:val="8"/>
        </w:numPr>
        <w:spacing w:after="0" w:line="240" w:lineRule="auto"/>
        <w:ind w:left="1276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v zákone č. 106/2018 Z. z. o prevádzke vozidiel v cestnej premávke a o zmene a doplnení niektorých zákonov v znení neskorších predpisov,</w:t>
      </w:r>
    </w:p>
    <w:p w14:paraId="673697CB" w14:textId="77777777" w:rsidR="00405D9F" w:rsidRPr="00BE66FB" w:rsidRDefault="00405D9F" w:rsidP="00405D9F">
      <w:pPr>
        <w:numPr>
          <w:ilvl w:val="2"/>
          <w:numId w:val="8"/>
        </w:numPr>
        <w:spacing w:after="0" w:line="240" w:lineRule="auto"/>
        <w:ind w:left="1276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vo vyhláške Ministerstva dopravy a výstavby Slovenskej republiky č. 137/2018 Z. z., ktorou sa ustanovujú podrobnosti v oblasti technickej kontroly v znení neskorších predpisov,</w:t>
      </w:r>
    </w:p>
    <w:p w14:paraId="346A28E7" w14:textId="77777777" w:rsidR="00405D9F" w:rsidRPr="00BE66FB" w:rsidRDefault="00405D9F" w:rsidP="00405D9F">
      <w:pPr>
        <w:numPr>
          <w:ilvl w:val="2"/>
          <w:numId w:val="8"/>
        </w:numPr>
        <w:spacing w:after="0" w:line="240" w:lineRule="auto"/>
        <w:ind w:left="1276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vo vyhláške Ministerstva dopravy a výstavby Slovenskej republiky č. 138/2018 Z. z., ktorou sa ustanovujú podrobnosti v oblasti emisnej kontroly v znení neskorších predpisov,</w:t>
      </w:r>
    </w:p>
    <w:p w14:paraId="67AFFDCF" w14:textId="77777777" w:rsidR="00405D9F" w:rsidRPr="00BE66FB" w:rsidRDefault="00405D9F" w:rsidP="00405D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14:paraId="65A8CA82" w14:textId="77777777" w:rsidR="00405D9F" w:rsidRPr="00BE66FB" w:rsidRDefault="00405D9F" w:rsidP="00405D9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Návrh </w:t>
      </w:r>
      <w:r w:rsidRPr="00BE66FB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zákona</w:t>
      </w:r>
      <w:r w:rsidRPr="00BE66FB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je zlučiteľný s právom Európskej únie</w:t>
      </w:r>
      <w:r w:rsidRPr="00BE66FB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:</w:t>
      </w:r>
    </w:p>
    <w:p w14:paraId="176DD50A" w14:textId="77777777" w:rsidR="00405D9F" w:rsidRDefault="00405D9F" w:rsidP="00405D9F">
      <w:pPr>
        <w:numPr>
          <w:ilvl w:val="0"/>
          <w:numId w:val="9"/>
        </w:numPr>
        <w:spacing w:before="120" w:after="0" w:line="240" w:lineRule="auto"/>
        <w:ind w:left="92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E66FB">
        <w:rPr>
          <w:rFonts w:ascii="Times New Roman" w:eastAsia="Times New Roman" w:hAnsi="Times New Roman" w:cs="Times New Roman"/>
          <w:sz w:val="24"/>
          <w:szCs w:val="24"/>
          <w:lang w:eastAsia="cs-CZ"/>
        </w:rPr>
        <w:t>úplne.</w:t>
      </w:r>
    </w:p>
    <w:p w14:paraId="6B92A51D" w14:textId="77777777" w:rsidR="00405D9F" w:rsidRDefault="00405D9F" w:rsidP="00405D9F">
      <w:p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73D54A7C" w14:textId="77777777" w:rsidR="00405D9F" w:rsidRDefault="00405D9F" w:rsidP="00405D9F">
      <w:p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897681D" w14:textId="77777777" w:rsidR="00405D9F" w:rsidRDefault="00405D9F" w:rsidP="00405D9F">
      <w:p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65FF43A1" w14:textId="77777777" w:rsidR="007876F7" w:rsidRDefault="007876F7"/>
    <w:sectPr w:rsidR="007876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77087"/>
    <w:multiLevelType w:val="hybridMultilevel"/>
    <w:tmpl w:val="6DC6CA6E"/>
    <w:lvl w:ilvl="0" w:tplc="2C007456">
      <w:start w:val="1"/>
      <w:numFmt w:val="lowerLetter"/>
      <w:lvlText w:val="%1)"/>
      <w:lvlJc w:val="left"/>
      <w:pPr>
        <w:ind w:left="927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B8519DB"/>
    <w:multiLevelType w:val="hybridMultilevel"/>
    <w:tmpl w:val="62363998"/>
    <w:lvl w:ilvl="0" w:tplc="C43A8C2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79C090B"/>
    <w:multiLevelType w:val="hybridMultilevel"/>
    <w:tmpl w:val="CCA80808"/>
    <w:lvl w:ilvl="0" w:tplc="8C16A5A8">
      <w:start w:val="1"/>
      <w:numFmt w:val="decimal"/>
      <w:lvlText w:val="%1."/>
      <w:lvlJc w:val="left"/>
      <w:pPr>
        <w:ind w:left="1353" w:hanging="360"/>
      </w:pPr>
    </w:lvl>
    <w:lvl w:ilvl="1" w:tplc="041B0019">
      <w:start w:val="1"/>
      <w:numFmt w:val="lowerLetter"/>
      <w:lvlText w:val="%2."/>
      <w:lvlJc w:val="left"/>
      <w:pPr>
        <w:ind w:left="2073" w:hanging="360"/>
      </w:pPr>
    </w:lvl>
    <w:lvl w:ilvl="2" w:tplc="041B001B">
      <w:start w:val="1"/>
      <w:numFmt w:val="lowerRoman"/>
      <w:lvlText w:val="%3."/>
      <w:lvlJc w:val="right"/>
      <w:pPr>
        <w:ind w:left="2793" w:hanging="180"/>
      </w:pPr>
    </w:lvl>
    <w:lvl w:ilvl="3" w:tplc="041B000F">
      <w:start w:val="1"/>
      <w:numFmt w:val="decimal"/>
      <w:lvlText w:val="%4."/>
      <w:lvlJc w:val="left"/>
      <w:pPr>
        <w:ind w:left="3513" w:hanging="360"/>
      </w:pPr>
    </w:lvl>
    <w:lvl w:ilvl="4" w:tplc="041B0019">
      <w:start w:val="1"/>
      <w:numFmt w:val="lowerLetter"/>
      <w:lvlText w:val="%5."/>
      <w:lvlJc w:val="left"/>
      <w:pPr>
        <w:ind w:left="4233" w:hanging="360"/>
      </w:pPr>
    </w:lvl>
    <w:lvl w:ilvl="5" w:tplc="041B001B">
      <w:start w:val="1"/>
      <w:numFmt w:val="lowerRoman"/>
      <w:lvlText w:val="%6."/>
      <w:lvlJc w:val="right"/>
      <w:pPr>
        <w:ind w:left="4953" w:hanging="180"/>
      </w:pPr>
    </w:lvl>
    <w:lvl w:ilvl="6" w:tplc="041B000F">
      <w:start w:val="1"/>
      <w:numFmt w:val="decimal"/>
      <w:lvlText w:val="%7."/>
      <w:lvlJc w:val="left"/>
      <w:pPr>
        <w:ind w:left="5673" w:hanging="360"/>
      </w:pPr>
    </w:lvl>
    <w:lvl w:ilvl="7" w:tplc="041B0019">
      <w:start w:val="1"/>
      <w:numFmt w:val="lowerLetter"/>
      <w:lvlText w:val="%8."/>
      <w:lvlJc w:val="left"/>
      <w:pPr>
        <w:ind w:left="6393" w:hanging="360"/>
      </w:pPr>
    </w:lvl>
    <w:lvl w:ilvl="8" w:tplc="041B001B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44CA36D8"/>
    <w:multiLevelType w:val="hybridMultilevel"/>
    <w:tmpl w:val="3DEE2414"/>
    <w:lvl w:ilvl="0" w:tplc="5512F164">
      <w:start w:val="4"/>
      <w:numFmt w:val="bullet"/>
      <w:lvlText w:val="-"/>
      <w:lvlJc w:val="left"/>
      <w:pPr>
        <w:ind w:left="1931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Times New Roman" w:hint="default"/>
      </w:rPr>
    </w:lvl>
    <w:lvl w:ilvl="2" w:tplc="5512F164">
      <w:start w:val="4"/>
      <w:numFmt w:val="bullet"/>
      <w:lvlText w:val="-"/>
      <w:lvlJc w:val="left"/>
      <w:pPr>
        <w:ind w:left="3371" w:hanging="360"/>
      </w:pPr>
      <w:rPr>
        <w:rFonts w:ascii="Times New Roman" w:eastAsia="Times New Roman" w:hAnsi="Times New Roman" w:cs="Times New Roman" w:hint="default"/>
      </w:rPr>
    </w:lvl>
    <w:lvl w:ilvl="3" w:tplc="041B000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Times New Roman" w:hint="default"/>
      </w:rPr>
    </w:lvl>
    <w:lvl w:ilvl="5" w:tplc="041B0005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Times New Roman" w:hint="default"/>
      </w:rPr>
    </w:lvl>
    <w:lvl w:ilvl="8" w:tplc="041B0005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4" w15:restartNumberingAfterBreak="0">
    <w:nsid w:val="459518FD"/>
    <w:multiLevelType w:val="singleLevel"/>
    <w:tmpl w:val="9E2450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67003015"/>
    <w:multiLevelType w:val="singleLevel"/>
    <w:tmpl w:val="9E2450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6A31210E"/>
    <w:multiLevelType w:val="hybridMultilevel"/>
    <w:tmpl w:val="3E98AC60"/>
    <w:lvl w:ilvl="0" w:tplc="80C21BA6">
      <w:start w:val="1"/>
      <w:numFmt w:val="decimal"/>
      <w:lvlText w:val="%1."/>
      <w:lvlJc w:val="left"/>
      <w:pPr>
        <w:tabs>
          <w:tab w:val="num" w:pos="567"/>
        </w:tabs>
        <w:ind w:left="567" w:hanging="510"/>
      </w:pPr>
      <w:rPr>
        <w:rFonts w:cs="Times New Roman"/>
        <w:b/>
        <w:color w:val="auto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BA52CDD"/>
    <w:multiLevelType w:val="multilevel"/>
    <w:tmpl w:val="1C4C114A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EA0DCB"/>
    <w:multiLevelType w:val="hybridMultilevel"/>
    <w:tmpl w:val="B406DC40"/>
    <w:lvl w:ilvl="0" w:tplc="5512F164">
      <w:start w:val="4"/>
      <w:numFmt w:val="bullet"/>
      <w:lvlText w:val="-"/>
      <w:lvlJc w:val="left"/>
      <w:pPr>
        <w:tabs>
          <w:tab w:val="num" w:pos="737"/>
        </w:tabs>
        <w:ind w:left="737" w:hanging="340"/>
      </w:pPr>
      <w:rPr>
        <w:rFonts w:ascii="Times New Roman" w:eastAsia="Times New Roman" w:hAnsi="Times New Roman" w:cs="Times New Roman" w:hint="default"/>
      </w:rPr>
    </w:lvl>
    <w:lvl w:ilvl="1" w:tplc="0000000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/>
      </w:rPr>
    </w:lvl>
  </w:abstractNum>
  <w:num w:numId="1" w16cid:durableId="1517042294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8303592">
    <w:abstractNumId w:val="5"/>
    <w:lvlOverride w:ilvl="0">
      <w:startOverride w:val="1"/>
    </w:lvlOverride>
  </w:num>
  <w:num w:numId="3" w16cid:durableId="212884735">
    <w:abstractNumId w:val="1"/>
  </w:num>
  <w:num w:numId="4" w16cid:durableId="962188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3223196">
    <w:abstractNumId w:val="8"/>
  </w:num>
  <w:num w:numId="6" w16cid:durableId="288318981">
    <w:abstractNumId w:val="4"/>
    <w:lvlOverride w:ilvl="0">
      <w:startOverride w:val="1"/>
    </w:lvlOverride>
  </w:num>
  <w:num w:numId="7" w16cid:durableId="1523737072">
    <w:abstractNumId w:val="7"/>
  </w:num>
  <w:num w:numId="8" w16cid:durableId="498274322">
    <w:abstractNumId w:val="3"/>
  </w:num>
  <w:num w:numId="9" w16cid:durableId="10339217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D9F"/>
    <w:rsid w:val="0034655C"/>
    <w:rsid w:val="00405D9F"/>
    <w:rsid w:val="007876F7"/>
    <w:rsid w:val="00BA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BFB43"/>
  <w15:chartTrackingRefBased/>
  <w15:docId w15:val="{F4490555-A4D3-4ECF-B901-05BCCF6B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05D9F"/>
    <w:pPr>
      <w:spacing w:line="256" w:lineRule="auto"/>
    </w:pPr>
    <w:rPr>
      <w:kern w:val="0"/>
      <w:sz w:val="22"/>
      <w:szCs w:val="22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405D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405D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405D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405D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405D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405D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05D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05D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05D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405D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405D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405D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405D9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405D9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405D9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405D9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05D9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05D9F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405D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405D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405D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405D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405D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405D9F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405D9F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405D9F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405D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405D9F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405D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1723</Words>
  <Characters>9826</Characters>
  <Application>Microsoft Office Word</Application>
  <DocSecurity>0</DocSecurity>
  <Lines>81</Lines>
  <Paragraphs>23</Paragraphs>
  <ScaleCrop>false</ScaleCrop>
  <Company>Kancelaria Narodnej rady Slovenskej republiky</Company>
  <LinksUpToDate>false</LinksUpToDate>
  <CharactersWithSpaces>11526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Klenovská, Petra</dc:creator>
  <cp:keywords/>
  <dc:description/>
  <cp:lastModifiedBy>Klenovská, Petra</cp:lastModifiedBy>
  <cp:revision>1</cp:revision>
  <dcterms:created xsi:type="dcterms:W3CDTF">2026-05-07T13:50:00Z</dcterms:created>
  <dcterms:modified xsi:type="dcterms:W3CDTF">2026-05-07T13:51:00Z</dcterms:modified>
</cp:coreProperties>
</file>